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8E08E" w14:textId="77777777" w:rsidR="00EC079A" w:rsidRDefault="00EC079A" w:rsidP="00EC079A">
      <w:pPr>
        <w:pStyle w:val="Listaszerbekezds2"/>
        <w:spacing w:after="0" w:line="240" w:lineRule="auto"/>
        <w:ind w:left="357"/>
        <w:jc w:val="center"/>
      </w:pPr>
      <w:r>
        <w:rPr>
          <w:b/>
        </w:rPr>
        <w:t>TANTÁRGYI TEMATIKA</w:t>
      </w:r>
      <w:r>
        <w:rPr>
          <w:b/>
        </w:rPr>
        <w:br/>
      </w:r>
      <w:r w:rsidRPr="003A2487">
        <w:t>Labour Law</w:t>
      </w:r>
    </w:p>
    <w:p w14:paraId="70EB77E8" w14:textId="77777777" w:rsidR="00EC079A" w:rsidRDefault="00EC079A" w:rsidP="00EC079A">
      <w:pPr>
        <w:pStyle w:val="Listaszerbekezds2"/>
        <w:spacing w:after="0" w:line="240" w:lineRule="auto"/>
        <w:ind w:left="357"/>
        <w:jc w:val="center"/>
        <w:rPr>
          <w:b/>
        </w:rPr>
      </w:pPr>
      <w:r>
        <w:t>ERASMUS</w:t>
      </w:r>
    </w:p>
    <w:p w14:paraId="1463F4B2" w14:textId="77777777" w:rsidR="00B55CC4" w:rsidRDefault="00B55CC4" w:rsidP="00EC079A">
      <w:pPr>
        <w:pStyle w:val="Listaszerbekezds2"/>
        <w:spacing w:after="0" w:line="240" w:lineRule="auto"/>
        <w:ind w:left="357"/>
        <w:jc w:val="center"/>
        <w:rPr>
          <w:b/>
        </w:rPr>
      </w:pPr>
    </w:p>
    <w:p w14:paraId="59AF1C6A" w14:textId="1E05C733" w:rsidR="00EC079A" w:rsidRDefault="00A67424" w:rsidP="00EC079A">
      <w:pPr>
        <w:pStyle w:val="Listaszerbekezds2"/>
        <w:spacing w:after="0" w:line="240" w:lineRule="auto"/>
        <w:ind w:left="357"/>
        <w:jc w:val="center"/>
        <w:rPr>
          <w:b/>
        </w:rPr>
      </w:pPr>
      <w:r>
        <w:rPr>
          <w:b/>
        </w:rPr>
        <w:t>202</w:t>
      </w:r>
      <w:r w:rsidR="0068161F">
        <w:rPr>
          <w:b/>
        </w:rPr>
        <w:t>5</w:t>
      </w:r>
      <w:r>
        <w:rPr>
          <w:b/>
        </w:rPr>
        <w:t>/2</w:t>
      </w:r>
      <w:r w:rsidR="0068161F">
        <w:rPr>
          <w:b/>
        </w:rPr>
        <w:t>6</w:t>
      </w:r>
      <w:r>
        <w:rPr>
          <w:b/>
        </w:rPr>
        <w:t>/</w:t>
      </w:r>
      <w:r w:rsidR="006D7A00">
        <w:rPr>
          <w:b/>
        </w:rPr>
        <w:t>2</w:t>
      </w:r>
      <w:r w:rsidR="00B55CC4">
        <w:rPr>
          <w:b/>
        </w:rPr>
        <w:t>.</w:t>
      </w:r>
    </w:p>
    <w:p w14:paraId="2DE200DA" w14:textId="77777777" w:rsidR="00EC079A" w:rsidRDefault="00EC079A"/>
    <w:tbl>
      <w:tblPr>
        <w:tblW w:w="9072" w:type="dxa"/>
        <w:tblInd w:w="-5" w:type="dxa"/>
        <w:tblCellMar>
          <w:left w:w="10" w:type="dxa"/>
          <w:right w:w="10" w:type="dxa"/>
        </w:tblCellMar>
        <w:tblLook w:val="0000" w:firstRow="0" w:lastRow="0" w:firstColumn="0" w:lastColumn="0" w:noHBand="0" w:noVBand="0"/>
      </w:tblPr>
      <w:tblGrid>
        <w:gridCol w:w="4568"/>
        <w:gridCol w:w="5456"/>
      </w:tblGrid>
      <w:tr w:rsidR="006A11D0" w:rsidRPr="006616D7" w14:paraId="5FE1C97E" w14:textId="77777777" w:rsidTr="00266F00">
        <w:tc>
          <w:tcPr>
            <w:tcW w:w="439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4765B7" w14:textId="77777777" w:rsidR="006A11D0" w:rsidRPr="006616D7" w:rsidRDefault="006A11D0" w:rsidP="00266F00">
            <w:pPr>
              <w:jc w:val="both"/>
              <w:rPr>
                <w:b/>
              </w:rPr>
            </w:pPr>
            <w:r w:rsidRPr="006616D7">
              <w:rPr>
                <w:b/>
              </w:rPr>
              <w:t>Tantárgy neve:</w:t>
            </w:r>
          </w:p>
          <w:p w14:paraId="1815F201" w14:textId="77777777" w:rsidR="006A11D0" w:rsidRPr="006616D7" w:rsidRDefault="006A11D0" w:rsidP="00B55CC4">
            <w:pPr>
              <w:jc w:val="both"/>
            </w:pPr>
            <w:r w:rsidRPr="003A2487">
              <w:t>Labour Law</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CF1BFA5" w14:textId="77777777" w:rsidR="006A11D0" w:rsidRDefault="006A11D0" w:rsidP="00266F00">
            <w:pPr>
              <w:jc w:val="both"/>
              <w:rPr>
                <w:b/>
              </w:rPr>
            </w:pPr>
            <w:r w:rsidRPr="006616D7">
              <w:rPr>
                <w:b/>
              </w:rPr>
              <w:t>Tantárgy Neptun kódja:</w:t>
            </w:r>
          </w:p>
          <w:p w14:paraId="0151E806" w14:textId="77777777" w:rsidR="008F50B1" w:rsidRPr="006616D7" w:rsidRDefault="008F50B1" w:rsidP="00266F00">
            <w:pPr>
              <w:jc w:val="both"/>
            </w:pPr>
          </w:p>
          <w:p w14:paraId="3E3EE1CE" w14:textId="77777777" w:rsidR="006A11D0" w:rsidRDefault="005C3881" w:rsidP="00266F00">
            <w:pPr>
              <w:jc w:val="both"/>
            </w:pPr>
            <w:r>
              <w:t>AJAMUERASMUS4</w:t>
            </w:r>
          </w:p>
          <w:p w14:paraId="0D697B73" w14:textId="77777777" w:rsidR="008F50B1" w:rsidRPr="006616D7" w:rsidRDefault="008F50B1" w:rsidP="00266F00">
            <w:pPr>
              <w:jc w:val="both"/>
            </w:pPr>
          </w:p>
          <w:p w14:paraId="22B1A107" w14:textId="77777777" w:rsidR="006A11D0" w:rsidRPr="006616D7" w:rsidRDefault="006A11D0" w:rsidP="00266F00">
            <w:pPr>
              <w:jc w:val="both"/>
            </w:pPr>
            <w:r w:rsidRPr="006616D7">
              <w:rPr>
                <w:b/>
              </w:rPr>
              <w:t>Tárgyfelelős intézet:</w:t>
            </w:r>
            <w:r w:rsidRPr="006616D7">
              <w:t xml:space="preserve"> </w:t>
            </w:r>
          </w:p>
          <w:p w14:paraId="137B5081" w14:textId="77777777" w:rsidR="006A11D0" w:rsidRDefault="006A11D0" w:rsidP="00266F00">
            <w:pPr>
              <w:jc w:val="both"/>
            </w:pPr>
            <w:r>
              <w:t>Civilisztikai Tudományok Intézete</w:t>
            </w:r>
          </w:p>
          <w:p w14:paraId="7CCC18DC" w14:textId="77777777" w:rsidR="006A11D0" w:rsidRDefault="006A11D0" w:rsidP="00266F00">
            <w:pPr>
              <w:jc w:val="both"/>
            </w:pPr>
            <w:r>
              <w:t>Agrár- és Munkajogi Intézeti Tanszék</w:t>
            </w:r>
          </w:p>
          <w:p w14:paraId="3CE2B25F" w14:textId="77777777" w:rsidR="008F50B1" w:rsidRPr="006616D7" w:rsidRDefault="008F50B1" w:rsidP="00266F00">
            <w:pPr>
              <w:jc w:val="both"/>
            </w:pPr>
          </w:p>
        </w:tc>
      </w:tr>
      <w:tr w:rsidR="006A11D0" w:rsidRPr="006616D7" w14:paraId="6868862B" w14:textId="77777777" w:rsidTr="00266F00">
        <w:tc>
          <w:tcPr>
            <w:tcW w:w="4395" w:type="dxa"/>
            <w:vMerge/>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FBBE96" w14:textId="77777777" w:rsidR="006A11D0" w:rsidRPr="006616D7" w:rsidRDefault="006A11D0" w:rsidP="00266F00">
            <w:pPr>
              <w:jc w:val="both"/>
            </w:pP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CB7C34" w14:textId="77777777" w:rsidR="006A11D0" w:rsidRPr="006616D7" w:rsidRDefault="006A11D0" w:rsidP="00266F00">
            <w:pPr>
              <w:jc w:val="both"/>
            </w:pPr>
            <w:r w:rsidRPr="006616D7">
              <w:rPr>
                <w:b/>
              </w:rPr>
              <w:t>Tantárgyelem:</w:t>
            </w:r>
            <w:r w:rsidRPr="006616D7">
              <w:t xml:space="preserve"> kötelező</w:t>
            </w:r>
          </w:p>
        </w:tc>
      </w:tr>
      <w:tr w:rsidR="006A11D0" w:rsidRPr="003A2487" w14:paraId="70CB6CCC"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F01111" w14:textId="77777777" w:rsidR="006A11D0" w:rsidRPr="003A2487" w:rsidRDefault="006A11D0" w:rsidP="00A67424">
            <w:pPr>
              <w:jc w:val="both"/>
            </w:pPr>
            <w:r w:rsidRPr="006616D7">
              <w:rPr>
                <w:b/>
              </w:rPr>
              <w:t xml:space="preserve">Tárgyfelelős: </w:t>
            </w:r>
            <w:r w:rsidR="00A67424" w:rsidRPr="00A67424">
              <w:t>Prof.</w:t>
            </w:r>
            <w:r w:rsidR="00A67424">
              <w:rPr>
                <w:b/>
              </w:rPr>
              <w:t xml:space="preserve"> </w:t>
            </w:r>
            <w:r w:rsidR="00A67424">
              <w:t>Dr. Jakab Nóra egyetemi tanár</w:t>
            </w:r>
          </w:p>
        </w:tc>
      </w:tr>
      <w:tr w:rsidR="006A11D0" w:rsidRPr="006616D7" w14:paraId="44E9FAC7"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4BC943" w14:textId="46C5EEF0" w:rsidR="006A11D0" w:rsidRDefault="006A11D0" w:rsidP="00A67424">
            <w:pPr>
              <w:jc w:val="both"/>
            </w:pPr>
            <w:r w:rsidRPr="006616D7">
              <w:rPr>
                <w:b/>
                <w:color w:val="000000"/>
              </w:rPr>
              <w:t>Közreműködő oktató:</w:t>
            </w:r>
            <w:r w:rsidR="00CC37F8">
              <w:rPr>
                <w:color w:val="000000"/>
              </w:rPr>
              <w:t xml:space="preserve"> </w:t>
            </w:r>
          </w:p>
          <w:p w14:paraId="4719D415" w14:textId="53214A39" w:rsidR="00C872E5" w:rsidRPr="006616D7" w:rsidRDefault="00AF777D" w:rsidP="00A67424">
            <w:pPr>
              <w:jc w:val="both"/>
              <w:rPr>
                <w:color w:val="000000"/>
              </w:rPr>
            </w:pPr>
            <w:r>
              <w:rPr>
                <w:color w:val="000000"/>
              </w:rPr>
              <w:t>-</w:t>
            </w:r>
          </w:p>
        </w:tc>
      </w:tr>
      <w:tr w:rsidR="006A11D0" w:rsidRPr="006616D7" w14:paraId="7EC8B56B" w14:textId="77777777" w:rsidTr="00266F00">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467344" w14:textId="77777777" w:rsidR="006A11D0" w:rsidRPr="003C741A" w:rsidRDefault="006A11D0" w:rsidP="00266F00">
            <w:pPr>
              <w:jc w:val="both"/>
              <w:rPr>
                <w:b/>
              </w:rPr>
            </w:pPr>
            <w:r w:rsidRPr="006616D7">
              <w:rPr>
                <w:b/>
              </w:rPr>
              <w:t xml:space="preserve">Javasolt félév: </w:t>
            </w:r>
            <w:r>
              <w:t>2</w:t>
            </w:r>
            <w:r w:rsidRPr="006616D7">
              <w:t>. félév (</w:t>
            </w:r>
            <w:r>
              <w:t>tavaszi</w:t>
            </w:r>
            <w:r w:rsidRPr="006616D7">
              <w:t>)</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C0E2C7" w14:textId="77777777" w:rsidR="006A11D0" w:rsidRPr="006616D7" w:rsidRDefault="006A11D0" w:rsidP="00266F00">
            <w:pPr>
              <w:jc w:val="both"/>
            </w:pPr>
            <w:r w:rsidRPr="006616D7">
              <w:rPr>
                <w:b/>
              </w:rPr>
              <w:t>Előfeltétel:</w:t>
            </w:r>
            <w:r w:rsidRPr="006616D7">
              <w:t xml:space="preserve"> </w:t>
            </w:r>
            <w:r>
              <w:t>-</w:t>
            </w:r>
          </w:p>
        </w:tc>
      </w:tr>
      <w:tr w:rsidR="006A11D0" w:rsidRPr="006616D7" w14:paraId="17636CEF" w14:textId="77777777" w:rsidTr="00266F00">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E4D4DC" w14:textId="77777777" w:rsidR="006A11D0" w:rsidRPr="006616D7" w:rsidRDefault="006A11D0" w:rsidP="00266F00">
            <w:pPr>
              <w:jc w:val="both"/>
            </w:pPr>
            <w:r w:rsidRPr="006616D7">
              <w:rPr>
                <w:b/>
              </w:rPr>
              <w:t>Óraszám:</w:t>
            </w:r>
          </w:p>
          <w:p w14:paraId="09C6FA08" w14:textId="77777777" w:rsidR="006A11D0" w:rsidRPr="006616D7" w:rsidRDefault="006A11D0" w:rsidP="00266F00">
            <w:pPr>
              <w:jc w:val="both"/>
            </w:pPr>
            <w:r>
              <w:t>nappali: 2</w:t>
            </w:r>
            <w:r w:rsidRPr="006616D7">
              <w:t xml:space="preserve"> óra/hét</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72ACFE" w14:textId="77777777" w:rsidR="006A11D0" w:rsidRPr="006616D7" w:rsidRDefault="006A11D0" w:rsidP="00266F00">
            <w:pPr>
              <w:jc w:val="both"/>
            </w:pPr>
            <w:r w:rsidRPr="006616D7">
              <w:rPr>
                <w:b/>
              </w:rPr>
              <w:t>Számonkérés módja</w:t>
            </w:r>
            <w:r w:rsidRPr="006616D7">
              <w:t xml:space="preserve">: </w:t>
            </w:r>
            <w:r>
              <w:t>kollokvium</w:t>
            </w:r>
          </w:p>
        </w:tc>
      </w:tr>
      <w:tr w:rsidR="006A11D0" w:rsidRPr="006616D7" w14:paraId="24EC649F" w14:textId="77777777" w:rsidTr="00266F00">
        <w:tc>
          <w:tcPr>
            <w:tcW w:w="43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56CC70" w14:textId="77777777" w:rsidR="006A11D0" w:rsidRPr="006616D7" w:rsidRDefault="006A11D0" w:rsidP="00266F00">
            <w:pPr>
              <w:jc w:val="both"/>
            </w:pPr>
            <w:r w:rsidRPr="006616D7">
              <w:rPr>
                <w:b/>
              </w:rPr>
              <w:t>Kreditpont:</w:t>
            </w:r>
            <w:r w:rsidR="00B55CC4">
              <w:t xml:space="preserve"> 5</w:t>
            </w:r>
          </w:p>
        </w:tc>
        <w:tc>
          <w:tcPr>
            <w:tcW w:w="46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8EDC6B3" w14:textId="77777777" w:rsidR="006A11D0" w:rsidRPr="006616D7" w:rsidRDefault="006A11D0" w:rsidP="00266F00">
            <w:pPr>
              <w:jc w:val="both"/>
            </w:pPr>
            <w:r w:rsidRPr="006616D7">
              <w:rPr>
                <w:b/>
              </w:rPr>
              <w:t>Munkarend:</w:t>
            </w:r>
            <w:r w:rsidRPr="006616D7">
              <w:t xml:space="preserve"> </w:t>
            </w:r>
            <w:r w:rsidRPr="00497092">
              <w:rPr>
                <w:u w:val="single"/>
              </w:rPr>
              <w:t>nappali</w:t>
            </w:r>
            <w:r w:rsidRPr="006616D7">
              <w:t>/levelező</w:t>
            </w:r>
          </w:p>
        </w:tc>
      </w:tr>
      <w:tr w:rsidR="006A11D0" w:rsidRPr="006616D7" w14:paraId="6147D171"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CE5F4" w14:textId="77777777" w:rsidR="006A11D0" w:rsidRPr="006616D7" w:rsidRDefault="006A11D0" w:rsidP="00266F00">
            <w:pPr>
              <w:jc w:val="both"/>
              <w:rPr>
                <w:b/>
              </w:rPr>
            </w:pPr>
            <w:r w:rsidRPr="006616D7">
              <w:rPr>
                <w:b/>
              </w:rPr>
              <w:t>Tantárgy feladata és célja:</w:t>
            </w:r>
          </w:p>
          <w:p w14:paraId="046E9258" w14:textId="77777777" w:rsidR="006A11D0" w:rsidRDefault="006A11D0" w:rsidP="00266F00">
            <w:pPr>
              <w:jc w:val="both"/>
              <w:rPr>
                <w:lang w:val="en-GB"/>
              </w:rPr>
            </w:pPr>
            <w:r w:rsidRPr="00D653F1">
              <w:rPr>
                <w:lang w:val="en-GB"/>
              </w:rPr>
              <w:t>European Labour and Social Law presents the core of the social conception of European Integration and the social dimension of EU law. As part of the substantive law of the EC, and as a symbiosis of EU and national labour laws, its elevation to the constitutional level of fundamental rights, the regulatory competition and coordination between transnational and national laws in transnational labour regulation, the</w:t>
            </w:r>
            <w:r>
              <w:rPr>
                <w:lang w:val="en-GB"/>
              </w:rPr>
              <w:t xml:space="preserve"> </w:t>
            </w:r>
            <w:r w:rsidRPr="00D653F1">
              <w:rPr>
                <w:lang w:val="en-GB"/>
              </w:rPr>
              <w:t>shift from free movement to labour and social law and policy are presented. The role of collective bargaining in EU regulation is highlighted focusing on directives regarding the social dimension of the EU, because European labour law as a central element of the European social model regulates working. The future of work is also presented, as the social dimension of the EU challenges the extension of social drawing rights linked to the employee statu</w:t>
            </w:r>
            <w:r>
              <w:rPr>
                <w:lang w:val="en-GB"/>
              </w:rPr>
              <w:t>s.</w:t>
            </w:r>
          </w:p>
          <w:p w14:paraId="20F0DF23" w14:textId="77777777" w:rsidR="006A11D0" w:rsidRPr="006616D7" w:rsidRDefault="006A11D0" w:rsidP="00266F00">
            <w:pPr>
              <w:jc w:val="both"/>
            </w:pPr>
          </w:p>
          <w:p w14:paraId="53ACF8C9" w14:textId="77777777" w:rsidR="006A11D0" w:rsidRPr="006616D7" w:rsidRDefault="006A11D0" w:rsidP="00266F00">
            <w:pPr>
              <w:jc w:val="both"/>
              <w:rPr>
                <w:b/>
              </w:rPr>
            </w:pPr>
            <w:r w:rsidRPr="006616D7">
              <w:rPr>
                <w:b/>
              </w:rPr>
              <w:t>Fejlesztendő kompetenciák:</w:t>
            </w:r>
          </w:p>
          <w:p w14:paraId="2DD12444" w14:textId="77777777" w:rsidR="006A11D0" w:rsidRPr="006616D7" w:rsidRDefault="006A11D0" w:rsidP="00266F00">
            <w:pPr>
              <w:jc w:val="both"/>
            </w:pPr>
            <w:r w:rsidRPr="006616D7">
              <w:rPr>
                <w:b/>
              </w:rPr>
              <w:t>tudás:</w:t>
            </w:r>
            <w:r w:rsidRPr="006616D7">
              <w:t xml:space="preserve"> </w:t>
            </w:r>
            <w:r>
              <w:t>T3, T4, T5</w:t>
            </w:r>
          </w:p>
          <w:p w14:paraId="4B691819" w14:textId="77777777" w:rsidR="006A11D0" w:rsidRPr="006616D7" w:rsidRDefault="006A11D0" w:rsidP="00266F00">
            <w:pPr>
              <w:jc w:val="both"/>
            </w:pPr>
            <w:r w:rsidRPr="006616D7">
              <w:rPr>
                <w:b/>
              </w:rPr>
              <w:t>képesség:</w:t>
            </w:r>
            <w:r w:rsidRPr="006616D7">
              <w:t xml:space="preserve"> </w:t>
            </w:r>
            <w:r>
              <w:t>K1, K2, K3, K4, K5, K6, K7, K8</w:t>
            </w:r>
          </w:p>
          <w:p w14:paraId="19CE574B" w14:textId="77777777" w:rsidR="006A11D0" w:rsidRPr="006616D7" w:rsidRDefault="006A11D0" w:rsidP="00266F00">
            <w:pPr>
              <w:jc w:val="both"/>
            </w:pPr>
            <w:r w:rsidRPr="006616D7">
              <w:rPr>
                <w:b/>
              </w:rPr>
              <w:t>attitűd:</w:t>
            </w:r>
            <w:r w:rsidRPr="006616D7">
              <w:t xml:space="preserve"> </w:t>
            </w:r>
            <w:r>
              <w:t>A1, A2, A3, A4, A5, A6</w:t>
            </w:r>
          </w:p>
          <w:p w14:paraId="1BF7946B" w14:textId="77777777" w:rsidR="006A11D0" w:rsidRPr="006616D7" w:rsidRDefault="006A11D0" w:rsidP="00266F00">
            <w:pPr>
              <w:jc w:val="both"/>
            </w:pPr>
            <w:r w:rsidRPr="006616D7">
              <w:rPr>
                <w:b/>
              </w:rPr>
              <w:t>autonómia és felelősség:</w:t>
            </w:r>
            <w:r w:rsidRPr="006616D7">
              <w:t xml:space="preserve"> </w:t>
            </w:r>
            <w:r>
              <w:t>F1, F2, F3, F4, F5, F6</w:t>
            </w:r>
          </w:p>
          <w:p w14:paraId="04057AE2" w14:textId="77777777" w:rsidR="006A11D0" w:rsidRPr="006616D7" w:rsidRDefault="006A11D0" w:rsidP="00266F00">
            <w:pPr>
              <w:jc w:val="both"/>
            </w:pPr>
          </w:p>
        </w:tc>
      </w:tr>
      <w:tr w:rsidR="006A11D0" w:rsidRPr="00836D6B" w14:paraId="2D8C3AB5"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3AD5BD" w14:textId="77777777" w:rsidR="006A11D0" w:rsidRDefault="006A11D0" w:rsidP="00266F00">
            <w:pPr>
              <w:pStyle w:val="Listaszerbekezds"/>
              <w:ind w:left="0"/>
              <w:rPr>
                <w:b/>
              </w:rPr>
            </w:pPr>
            <w:r w:rsidRPr="006616D7">
              <w:rPr>
                <w:b/>
              </w:rPr>
              <w:t>Tantárgy tematikus leírása:</w:t>
            </w:r>
          </w:p>
          <w:p w14:paraId="3B266689" w14:textId="77777777" w:rsidR="006A11D0" w:rsidRDefault="006A11D0" w:rsidP="006A11D0">
            <w:pPr>
              <w:pStyle w:val="Listaszerbekezds"/>
              <w:numPr>
                <w:ilvl w:val="0"/>
                <w:numId w:val="3"/>
              </w:numPr>
              <w:rPr>
                <w:lang w:eastAsia="en-US"/>
              </w:rPr>
            </w:pPr>
            <w:r>
              <w:rPr>
                <w:lang w:eastAsia="en-US"/>
              </w:rPr>
              <w:t xml:space="preserve">Introduction: The Evolution of EU Social and Labour Law </w:t>
            </w:r>
          </w:p>
          <w:p w14:paraId="4B387C6C" w14:textId="77777777" w:rsidR="006A11D0" w:rsidRDefault="006A11D0" w:rsidP="00266F00">
            <w:pPr>
              <w:pStyle w:val="Listaszerbekezds"/>
              <w:ind w:left="392"/>
              <w:rPr>
                <w:lang w:eastAsia="en-US"/>
              </w:rPr>
            </w:pPr>
            <w:r>
              <w:rPr>
                <w:lang w:eastAsia="en-US"/>
              </w:rPr>
              <w:t xml:space="preserve">Bercusson, Brian: European Labour Law (Law in Context), Cambridge University Press, 2009. </w:t>
            </w:r>
          </w:p>
          <w:p w14:paraId="510A0F3A" w14:textId="77777777" w:rsidR="006A11D0" w:rsidRDefault="006A11D0" w:rsidP="00266F00">
            <w:pPr>
              <w:pStyle w:val="Listaszerbekezds"/>
              <w:ind w:left="-105" w:firstLine="105"/>
              <w:rPr>
                <w:lang w:eastAsia="en-US"/>
              </w:rPr>
            </w:pPr>
          </w:p>
          <w:p w14:paraId="09F715AA" w14:textId="77777777" w:rsidR="006A11D0" w:rsidRDefault="006A11D0" w:rsidP="006A11D0">
            <w:pPr>
              <w:pStyle w:val="Listaszerbekezds"/>
              <w:numPr>
                <w:ilvl w:val="0"/>
                <w:numId w:val="3"/>
              </w:numPr>
              <w:rPr>
                <w:lang w:eastAsia="en-US"/>
              </w:rPr>
            </w:pPr>
            <w:r>
              <w:rPr>
                <w:lang w:eastAsia="en-US"/>
              </w:rPr>
              <w:t xml:space="preserve">Supranational Sources: Hard Law-Making in the EU; EU Charter of Fundamental Rights; ILO and Its Core Instruments </w:t>
            </w:r>
          </w:p>
          <w:p w14:paraId="6706DC51" w14:textId="77777777" w:rsidR="006A11D0" w:rsidRDefault="006A11D0" w:rsidP="00266F00">
            <w:pPr>
              <w:pStyle w:val="Listaszerbekezds"/>
              <w:ind w:left="392"/>
              <w:rPr>
                <w:lang w:eastAsia="en-US"/>
              </w:rPr>
            </w:pPr>
            <w:r>
              <w:rPr>
                <w:lang w:eastAsia="en-US"/>
              </w:rPr>
              <w:t xml:space="preserve">Treaty on the Functioning of the European Union European Union Charter of Fundamental Rights </w:t>
            </w:r>
          </w:p>
          <w:p w14:paraId="0D3F0D29" w14:textId="77777777" w:rsidR="006A11D0" w:rsidRDefault="006A11D0" w:rsidP="00266F00">
            <w:pPr>
              <w:pStyle w:val="Listaszerbekezds"/>
              <w:ind w:left="-105" w:firstLine="105"/>
              <w:rPr>
                <w:lang w:eastAsia="en-US"/>
              </w:rPr>
            </w:pPr>
          </w:p>
          <w:p w14:paraId="46E8896E" w14:textId="77777777" w:rsidR="006A11D0" w:rsidRDefault="006A11D0" w:rsidP="006A11D0">
            <w:pPr>
              <w:pStyle w:val="Listaszerbekezds"/>
              <w:numPr>
                <w:ilvl w:val="0"/>
                <w:numId w:val="3"/>
              </w:numPr>
              <w:rPr>
                <w:lang w:eastAsia="en-US"/>
              </w:rPr>
            </w:pPr>
            <w:r>
              <w:rPr>
                <w:lang w:eastAsia="en-US"/>
              </w:rPr>
              <w:t xml:space="preserve">Labour Law and the Internal Market: The Free Movement of Workers; The Posting of Workers  </w:t>
            </w:r>
          </w:p>
          <w:p w14:paraId="61ED08E4" w14:textId="77777777" w:rsidR="006A11D0" w:rsidRDefault="006A11D0" w:rsidP="00266F00">
            <w:pPr>
              <w:pStyle w:val="Listaszerbekezds"/>
              <w:ind w:left="392"/>
              <w:rPr>
                <w:lang w:eastAsia="en-US"/>
              </w:rPr>
            </w:pPr>
            <w:r>
              <w:rPr>
                <w:lang w:eastAsia="en-US"/>
              </w:rPr>
              <w:t xml:space="preserve">Regulation (EU) 492/2011 (Free movement of workers) Directive 2014/54/EU (Individual Employment Conditions) Directive 96/71/EC (Posting of workers) Lawrie-Blum (ECJ Case 66/85) </w:t>
            </w:r>
            <w:r>
              <w:rPr>
                <w:lang w:eastAsia="en-US"/>
              </w:rPr>
              <w:lastRenderedPageBreak/>
              <w:t xml:space="preserve">Levin (ECJ Case 53/81) Groener (ECJ Case 379/87) Bosman (ECJ Case 415/93) Las (ECJ Case 202/11) Santos Palhota and Others (ECJ Case 515/08) </w:t>
            </w:r>
          </w:p>
          <w:p w14:paraId="5D7AFB0D" w14:textId="77777777" w:rsidR="006A11D0" w:rsidRDefault="006A11D0" w:rsidP="00266F00">
            <w:pPr>
              <w:pStyle w:val="Listaszerbekezds"/>
              <w:ind w:left="-105" w:firstLine="105"/>
              <w:rPr>
                <w:lang w:eastAsia="en-US"/>
              </w:rPr>
            </w:pPr>
          </w:p>
          <w:p w14:paraId="51FE14F6" w14:textId="77777777" w:rsidR="006A11D0" w:rsidRDefault="006A11D0" w:rsidP="006A11D0">
            <w:pPr>
              <w:pStyle w:val="Listaszerbekezds"/>
              <w:numPr>
                <w:ilvl w:val="0"/>
                <w:numId w:val="3"/>
              </w:numPr>
              <w:rPr>
                <w:lang w:eastAsia="en-US"/>
              </w:rPr>
            </w:pPr>
            <w:r>
              <w:rPr>
                <w:lang w:eastAsia="en-US"/>
              </w:rPr>
              <w:t xml:space="preserve">Equality at Work: Equal Treatment and Equal Pay Treaty on the Functioning of the European Union Directive 75/117/EEC (Equal pay) Directive 76/207/EEC (Equal treatment) Directive 2000/78/EC (Equality Framework) Directive 2006/54/EC (Equal treatment) ILO C095, C100, C111 Defrenne 1., 2., 3. (ECJ Case 80/70. (No. 1.), Case 43/75. (No. 2.), Case 149/77. No. 3.)) Danfoss (ECJ Case 170/84) Cadman (ECJ Case 109/88) Kalanke (ECJ Case 450/93) Marschall (ECJ Case 409/95) Asociatia ACCEPT (ECJ Case 81/12) Ring (ECJ Joined Cases 335/11 and 337/11) </w:t>
            </w:r>
          </w:p>
          <w:p w14:paraId="1B770925" w14:textId="77777777" w:rsidR="006A11D0" w:rsidRDefault="006A11D0" w:rsidP="00266F00">
            <w:pPr>
              <w:pStyle w:val="Listaszerbekezds"/>
              <w:ind w:left="720"/>
              <w:rPr>
                <w:lang w:eastAsia="en-US"/>
              </w:rPr>
            </w:pPr>
          </w:p>
          <w:p w14:paraId="40A699DF" w14:textId="77777777" w:rsidR="006A11D0" w:rsidRDefault="006A11D0" w:rsidP="006A11D0">
            <w:pPr>
              <w:pStyle w:val="Listaszerbekezds"/>
              <w:numPr>
                <w:ilvl w:val="0"/>
                <w:numId w:val="3"/>
              </w:numPr>
            </w:pPr>
            <w:r>
              <w:t xml:space="preserve">Equality at Work: Family Friendly Policies Directive 92/85/EC (Pregnant workers) Directive 96/34/EC (Framework agreement on parental leave) </w:t>
            </w:r>
          </w:p>
          <w:p w14:paraId="5269DA26" w14:textId="77777777" w:rsidR="00A64319" w:rsidRDefault="006A11D0" w:rsidP="00A64319">
            <w:pPr>
              <w:pStyle w:val="Listaszerbekezds"/>
              <w:ind w:left="392"/>
              <w:rPr>
                <w:lang w:eastAsia="en-US"/>
              </w:rPr>
            </w:pPr>
            <w:r>
              <w:rPr>
                <w:lang w:eastAsia="en-US"/>
              </w:rPr>
              <w:t xml:space="preserve">Dekker (ECJ Case 177/88) Hertz (ECJ Case 179/88) Mayr (ECJ Case 505/06) Gillespie (ECJ Case 342/93) Chatzi (ECJ Case 149/10) </w:t>
            </w:r>
          </w:p>
          <w:p w14:paraId="41E2D15A" w14:textId="77777777" w:rsidR="00A64319" w:rsidRDefault="00A64319" w:rsidP="00A64319">
            <w:pPr>
              <w:pStyle w:val="Listaszerbekezds"/>
              <w:ind w:left="392"/>
              <w:rPr>
                <w:lang w:eastAsia="en-US"/>
              </w:rPr>
            </w:pPr>
          </w:p>
          <w:p w14:paraId="3586329A" w14:textId="77777777" w:rsidR="006A11D0" w:rsidRDefault="006A11D0" w:rsidP="00A64319">
            <w:pPr>
              <w:pStyle w:val="Listaszerbekezds"/>
              <w:numPr>
                <w:ilvl w:val="0"/>
                <w:numId w:val="3"/>
              </w:numPr>
              <w:rPr>
                <w:lang w:eastAsia="en-US"/>
              </w:rPr>
            </w:pPr>
            <w:r>
              <w:t xml:space="preserve">The Regulation of Atypical Work Directive 97/81/EC (Part-time work) Directive 1999/70/EC (Fixed-term work) Directive 2008/104/EC (Temporary agency workers) Impact (ECJ Case 268/06) Adeneler and Others (ECJ Case 212/04) Othmar Michaeler and Others (ECJ Joined Cases 55/07 and 56/07) Kücük (ECJ Case 586/10) </w:t>
            </w:r>
          </w:p>
          <w:p w14:paraId="78500DAA" w14:textId="77777777" w:rsidR="006A11D0" w:rsidRDefault="006A11D0" w:rsidP="00266F00">
            <w:pPr>
              <w:pStyle w:val="Listaszerbekezds"/>
              <w:ind w:left="720"/>
              <w:rPr>
                <w:lang w:eastAsia="en-US"/>
              </w:rPr>
            </w:pPr>
          </w:p>
          <w:p w14:paraId="32293D27" w14:textId="77777777" w:rsidR="006A11D0" w:rsidRDefault="006A11D0" w:rsidP="006A11D0">
            <w:pPr>
              <w:pStyle w:val="Listaszerbekezds"/>
              <w:numPr>
                <w:ilvl w:val="0"/>
                <w:numId w:val="3"/>
              </w:numPr>
              <w:rPr>
                <w:lang w:eastAsia="en-US"/>
              </w:rPr>
            </w:pPr>
            <w:r>
              <w:rPr>
                <w:lang w:eastAsia="en-US"/>
              </w:rPr>
              <w:t>Fair and Just Working Conditions: Working Time and Holiday Directive 2003/88/EC (Working time) Directive 96/34/EC (Framework agreement on parental leave) Jaeger (ECJ Case 151/02) BECTU (ECJ Case 133/00) Simap (ECJ Case 303/98) Dellas (ECJ Case 14/04) Dominguez (ECJ Case 282/10) Federatie Nederlandse Vakbeweging (ECJ Case 124/05)</w:t>
            </w:r>
          </w:p>
          <w:p w14:paraId="731BC786" w14:textId="77777777" w:rsidR="006A11D0" w:rsidRDefault="006A11D0" w:rsidP="00266F00">
            <w:pPr>
              <w:pStyle w:val="Listaszerbekezds"/>
              <w:ind w:left="720"/>
              <w:rPr>
                <w:lang w:eastAsia="en-US"/>
              </w:rPr>
            </w:pPr>
          </w:p>
          <w:p w14:paraId="0BC24F07" w14:textId="77777777" w:rsidR="006A11D0" w:rsidRDefault="006A11D0" w:rsidP="00266F00">
            <w:pPr>
              <w:pStyle w:val="Listaszerbekezds"/>
              <w:ind w:left="720"/>
              <w:rPr>
                <w:lang w:eastAsia="en-US"/>
              </w:rPr>
            </w:pPr>
          </w:p>
          <w:p w14:paraId="385E7006" w14:textId="77777777" w:rsidR="006A11D0" w:rsidRDefault="006A11D0" w:rsidP="006A11D0">
            <w:pPr>
              <w:pStyle w:val="Listaszerbekezds"/>
              <w:numPr>
                <w:ilvl w:val="0"/>
                <w:numId w:val="3"/>
              </w:numPr>
              <w:rPr>
                <w:lang w:eastAsia="en-US"/>
              </w:rPr>
            </w:pPr>
            <w:r>
              <w:rPr>
                <w:lang w:eastAsia="en-US"/>
              </w:rPr>
              <w:t xml:space="preserve">Fair and Just Working Conditions: Occupational Health and Safety Directive 89/391/EEC (Framework Directive on Health and Safety) Directive 89/654/EEC (Minimum Safety and Health Requirements for the Workplace) Simap (ECJ Case 303/98) Commission v United Kingdom (ECJ Case 127/05)  ILO C187 </w:t>
            </w:r>
          </w:p>
          <w:p w14:paraId="19FC5DAA" w14:textId="77777777" w:rsidR="006A11D0" w:rsidRDefault="006A11D0" w:rsidP="00266F00">
            <w:pPr>
              <w:pStyle w:val="Listaszerbekezds"/>
              <w:ind w:left="720"/>
              <w:rPr>
                <w:lang w:eastAsia="en-US"/>
              </w:rPr>
            </w:pPr>
          </w:p>
          <w:p w14:paraId="01A2012D" w14:textId="77777777" w:rsidR="006A11D0" w:rsidRDefault="006A11D0" w:rsidP="006A11D0">
            <w:pPr>
              <w:pStyle w:val="Listaszerbekezds"/>
              <w:numPr>
                <w:ilvl w:val="0"/>
                <w:numId w:val="3"/>
              </w:numPr>
              <w:rPr>
                <w:lang w:eastAsia="en-US"/>
              </w:rPr>
            </w:pPr>
            <w:r>
              <w:rPr>
                <w:lang w:eastAsia="en-US"/>
              </w:rPr>
              <w:t xml:space="preserve">Transfer of Undertakings Directive 2001/23/EC (Transfer of Undertakings) Scottolon (ECJ Case 108/10) Albron Catering (ECJ Case 242/09) Juuri (ECJ Case 396/07) Jouini and Others (ECJ Case 458/05) </w:t>
            </w:r>
          </w:p>
          <w:p w14:paraId="3F13DA96" w14:textId="77777777" w:rsidR="006A11D0" w:rsidRDefault="006A11D0" w:rsidP="00266F00">
            <w:pPr>
              <w:pStyle w:val="Listaszerbekezds"/>
              <w:ind w:left="0"/>
              <w:rPr>
                <w:lang w:eastAsia="en-US"/>
              </w:rPr>
            </w:pPr>
          </w:p>
          <w:p w14:paraId="77B59205" w14:textId="77777777" w:rsidR="006A11D0" w:rsidRDefault="006A11D0" w:rsidP="006A11D0">
            <w:pPr>
              <w:pStyle w:val="Listaszerbekezds"/>
              <w:numPr>
                <w:ilvl w:val="0"/>
                <w:numId w:val="3"/>
              </w:numPr>
              <w:rPr>
                <w:lang w:eastAsia="en-US"/>
              </w:rPr>
            </w:pPr>
            <w:r>
              <w:rPr>
                <w:lang w:eastAsia="en-US"/>
              </w:rPr>
              <w:t xml:space="preserve">Termination of Employment: Collective Redundancy and Employer Insolvency Directive 98/59/EC (Collective redundancies) Directive 2008/94/EC (Insolvency) Hogan and others (ECJ Case 398/11) van Ardennen (ECJ Case 435/10) Akavan Erityisalojen Keskuslitto AEK and Others (ECJ Case 44/08) Mono Car Styling (ECJ Case 12/08) Ovido Rodríguez Mayor and Others (ECJ Case 323/08) Junk (ECJ Case 188/03) Commission v Portugese Republic (ECJ Case 55/02) </w:t>
            </w:r>
          </w:p>
          <w:p w14:paraId="0BAFB3D8" w14:textId="77777777" w:rsidR="006A11D0" w:rsidRDefault="006A11D0" w:rsidP="00266F00">
            <w:pPr>
              <w:pStyle w:val="Listaszerbekezds"/>
              <w:ind w:left="0"/>
              <w:rPr>
                <w:lang w:eastAsia="en-US"/>
              </w:rPr>
            </w:pPr>
          </w:p>
          <w:p w14:paraId="6E9319D7" w14:textId="77777777" w:rsidR="006A11D0" w:rsidRDefault="006A11D0" w:rsidP="006A11D0">
            <w:pPr>
              <w:pStyle w:val="Listaszerbekezds"/>
              <w:numPr>
                <w:ilvl w:val="0"/>
                <w:numId w:val="3"/>
              </w:numPr>
              <w:rPr>
                <w:lang w:eastAsia="en-US"/>
              </w:rPr>
            </w:pPr>
            <w:r>
              <w:rPr>
                <w:lang w:eastAsia="en-US"/>
              </w:rPr>
              <w:t xml:space="preserve"> Freedom of Association, Collective Bargaining and The Right to Strike Treaty on the Functioning of the European Union European Union Charter of Fundamental Rights ILO C135, C154 Viking (ECJ Case 438/05) Laval (ECJ Case 341/05) ASLEF v UK (ECtHR Case C-1002/05) </w:t>
            </w:r>
          </w:p>
          <w:p w14:paraId="1C534C09" w14:textId="77777777" w:rsidR="006A11D0" w:rsidRDefault="006A11D0" w:rsidP="00266F00">
            <w:pPr>
              <w:pStyle w:val="Listaszerbekezds"/>
              <w:ind w:left="0"/>
              <w:rPr>
                <w:lang w:eastAsia="en-US"/>
              </w:rPr>
            </w:pPr>
          </w:p>
          <w:p w14:paraId="4298C3B8" w14:textId="77777777" w:rsidR="006A11D0" w:rsidRDefault="006A11D0" w:rsidP="006A11D0">
            <w:pPr>
              <w:pStyle w:val="Listaszerbekezds"/>
              <w:numPr>
                <w:ilvl w:val="0"/>
                <w:numId w:val="3"/>
              </w:numPr>
              <w:rPr>
                <w:lang w:eastAsia="en-US"/>
              </w:rPr>
            </w:pPr>
            <w:r>
              <w:rPr>
                <w:lang w:eastAsia="en-US"/>
              </w:rPr>
              <w:t xml:space="preserve"> Workers’ Involvement: The Right to Information, Consultation and Participation; European Works Council Directive 2002/14/EC (Framework Directive on Information and Consultation) Directive 2009/38/EC  (European Works Council) Junk (ECJ Case 188/03) Ingeniørforeningen i Danmark (ECJ Case 405/08) Association de médiation sociale v Union locale des syndicats CGT </w:t>
            </w:r>
            <w:r>
              <w:rPr>
                <w:lang w:eastAsia="en-US"/>
              </w:rPr>
              <w:lastRenderedPageBreak/>
              <w:t xml:space="preserve">and Others (ECJ Case 176/12) Gesamtbetriebsrat der Kühne &amp; Nagel AG &amp; Co. KG v Kühne &amp; Nagel AG &amp; Co. KG (ECJ Case 440/00) </w:t>
            </w:r>
          </w:p>
          <w:p w14:paraId="79994A80" w14:textId="77777777" w:rsidR="006A11D0" w:rsidRDefault="006A11D0" w:rsidP="00266F00">
            <w:pPr>
              <w:pStyle w:val="Listaszerbekezds"/>
              <w:ind w:left="0"/>
              <w:rPr>
                <w:lang w:eastAsia="en-US"/>
              </w:rPr>
            </w:pPr>
          </w:p>
          <w:p w14:paraId="08CBF67B" w14:textId="77777777" w:rsidR="006A11D0" w:rsidRDefault="006A11D0" w:rsidP="006A11D0">
            <w:pPr>
              <w:pStyle w:val="Listaszerbekezds"/>
              <w:numPr>
                <w:ilvl w:val="0"/>
                <w:numId w:val="3"/>
              </w:numPr>
              <w:rPr>
                <w:lang w:eastAsia="en-US"/>
              </w:rPr>
            </w:pPr>
            <w:r>
              <w:rPr>
                <w:lang w:eastAsia="en-US"/>
              </w:rPr>
              <w:t xml:space="preserve">Social Security Coordination in the EU Regulation 883/2004 Regulation 987/2009 ILO C102 Salgado González (ECJ Case 282/11) Humer (ECJ Case 255/99) Kaske (ECJ Case 277/99) Hervein and Others  (ECJ Joined Cases 393/99 and 394/99 ) I v Health Service Executive (ECJ Case 255/13) Würker (ECJ Case 32/13) </w:t>
            </w:r>
          </w:p>
          <w:p w14:paraId="13BB8868" w14:textId="77777777" w:rsidR="006A11D0" w:rsidRDefault="006A11D0" w:rsidP="00266F00">
            <w:pPr>
              <w:pStyle w:val="Listaszerbekezds"/>
              <w:ind w:left="0"/>
              <w:rPr>
                <w:lang w:eastAsia="en-US"/>
              </w:rPr>
            </w:pPr>
          </w:p>
          <w:p w14:paraId="1C6CA858" w14:textId="77777777" w:rsidR="006A11D0" w:rsidRPr="006616D7" w:rsidRDefault="006A11D0" w:rsidP="006A11D0">
            <w:pPr>
              <w:pStyle w:val="Listaszerbekezds"/>
              <w:numPr>
                <w:ilvl w:val="0"/>
                <w:numId w:val="3"/>
              </w:numPr>
              <w:rPr>
                <w:lang w:eastAsia="en-US"/>
              </w:rPr>
            </w:pPr>
            <w:r>
              <w:rPr>
                <w:lang w:eastAsia="en-US"/>
              </w:rPr>
              <w:t>European Social Charter European Social Charter 1961 and Protocol 1991, European Social Charter (revised) 1996</w:t>
            </w:r>
          </w:p>
          <w:p w14:paraId="0F82F20B" w14:textId="77777777" w:rsidR="006A11D0" w:rsidRPr="00836D6B" w:rsidRDefault="006A11D0" w:rsidP="00266F00"/>
        </w:tc>
      </w:tr>
      <w:tr w:rsidR="006A11D0" w:rsidRPr="00836D6B" w14:paraId="31E65588"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B4F9C2" w14:textId="77777777" w:rsidR="006A11D0" w:rsidRPr="006616D7" w:rsidRDefault="006A11D0" w:rsidP="00266F00">
            <w:pPr>
              <w:jc w:val="both"/>
              <w:rPr>
                <w:b/>
              </w:rPr>
            </w:pPr>
            <w:r w:rsidRPr="006616D7">
              <w:rPr>
                <w:b/>
              </w:rPr>
              <w:lastRenderedPageBreak/>
              <w:t>Félévközi számonkérés módja és értékelése:</w:t>
            </w:r>
          </w:p>
          <w:p w14:paraId="74DE76AB" w14:textId="77777777" w:rsidR="006A11D0" w:rsidRPr="006616D7" w:rsidRDefault="006A11D0" w:rsidP="00266F00">
            <w:pPr>
              <w:jc w:val="both"/>
            </w:pPr>
          </w:p>
          <w:p w14:paraId="157B6D3E" w14:textId="77777777" w:rsidR="006A11D0" w:rsidRPr="00064B7C" w:rsidRDefault="006A11D0" w:rsidP="00266F00">
            <w:pPr>
              <w:pStyle w:val="Listaszerbekezds1"/>
              <w:spacing w:after="0" w:line="240" w:lineRule="auto"/>
              <w:ind w:left="0"/>
              <w:rPr>
                <w:lang w:val="en-US"/>
              </w:rPr>
            </w:pPr>
            <w:r w:rsidRPr="006616D7">
              <w:rPr>
                <w:b/>
              </w:rPr>
              <w:t>A kollokvium teljesítésének módja, értékelése:</w:t>
            </w:r>
            <w:r>
              <w:rPr>
                <w:b/>
              </w:rPr>
              <w:t xml:space="preserve"> </w:t>
            </w:r>
            <w:r w:rsidRPr="00064B7C">
              <w:rPr>
                <w:lang w:val="en-US"/>
              </w:rPr>
              <w:t>A written exam will take place on the basis of the determined topics, the</w:t>
            </w:r>
            <w:r>
              <w:rPr>
                <w:lang w:val="en-US"/>
              </w:rPr>
              <w:t xml:space="preserve"> obligatory readings and the </w:t>
            </w:r>
            <w:r w:rsidRPr="00064B7C">
              <w:rPr>
                <w:lang w:val="en-US"/>
              </w:rPr>
              <w:t xml:space="preserve">materiel of the lectures. </w:t>
            </w:r>
          </w:p>
          <w:p w14:paraId="3B1AA563" w14:textId="77777777" w:rsidR="006A11D0" w:rsidRPr="006616D7" w:rsidRDefault="006A11D0" w:rsidP="00266F00">
            <w:pPr>
              <w:jc w:val="both"/>
              <w:rPr>
                <w:b/>
              </w:rPr>
            </w:pPr>
            <w:r w:rsidRPr="00064B7C">
              <w:rPr>
                <w:lang w:val="en-US"/>
              </w:rPr>
              <w:t>There is a five-scale grading (1-5) where the t</w:t>
            </w:r>
            <w:r>
              <w:rPr>
                <w:lang w:val="en-US"/>
              </w:rPr>
              <w:t>h</w:t>
            </w:r>
            <w:r w:rsidRPr="00064B7C">
              <w:rPr>
                <w:lang w:val="en-US"/>
              </w:rPr>
              <w:t>resholds are determined as follows: 0-60% fail, 61-70% pass, 71-80% satisfactory, 81-90% good, 91-100% excellent.</w:t>
            </w:r>
          </w:p>
          <w:p w14:paraId="084793D8" w14:textId="77777777" w:rsidR="006A11D0" w:rsidRPr="006616D7" w:rsidRDefault="006A11D0" w:rsidP="00266F00">
            <w:pPr>
              <w:jc w:val="both"/>
              <w:rPr>
                <w:b/>
              </w:rPr>
            </w:pPr>
          </w:p>
          <w:p w14:paraId="3CFF86E2" w14:textId="77777777" w:rsidR="006A11D0" w:rsidRPr="00836D6B" w:rsidRDefault="006A11D0" w:rsidP="00266F00">
            <w:pPr>
              <w:suppressAutoHyphens/>
              <w:autoSpaceDN w:val="0"/>
              <w:contextualSpacing/>
              <w:textAlignment w:val="baseline"/>
              <w:rPr>
                <w:b/>
              </w:rPr>
            </w:pPr>
          </w:p>
        </w:tc>
      </w:tr>
      <w:tr w:rsidR="00AF777D" w:rsidRPr="006616D7" w14:paraId="014C9765" w14:textId="77777777" w:rsidTr="00266F00">
        <w:tc>
          <w:tcPr>
            <w:tcW w:w="907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5CA8EC" w14:textId="77777777" w:rsidR="00AF777D" w:rsidRDefault="00AF777D" w:rsidP="00AF777D">
            <w:pPr>
              <w:jc w:val="both"/>
              <w:rPr>
                <w:b/>
              </w:rPr>
            </w:pPr>
            <w:r w:rsidRPr="006616D7">
              <w:rPr>
                <w:b/>
              </w:rPr>
              <w:t>Kötelező irodalom:</w:t>
            </w:r>
          </w:p>
          <w:p w14:paraId="1C8FB0AC" w14:textId="77777777" w:rsidR="00AF777D" w:rsidRPr="006616D7" w:rsidRDefault="00AF777D" w:rsidP="00AF777D">
            <w:pPr>
              <w:jc w:val="both"/>
              <w:rPr>
                <w:b/>
              </w:rPr>
            </w:pPr>
          </w:p>
          <w:p w14:paraId="51C9554D" w14:textId="3BFCFDF6" w:rsidR="00AF777D" w:rsidRDefault="00AF777D" w:rsidP="00AF777D">
            <w:pPr>
              <w:pStyle w:val="Listaszerbekezds"/>
              <w:numPr>
                <w:ilvl w:val="0"/>
                <w:numId w:val="1"/>
              </w:numPr>
              <w:ind w:left="602" w:hanging="425"/>
            </w:pPr>
            <w:r w:rsidRPr="00122152">
              <w:t>Jakab, N. (202</w:t>
            </w:r>
            <w:r>
              <w:t>6</w:t>
            </w:r>
            <w:r w:rsidRPr="00122152">
              <w:t xml:space="preserve">). </w:t>
            </w:r>
            <w:r w:rsidRPr="00122152">
              <w:rPr>
                <w:i/>
                <w:iCs/>
              </w:rPr>
              <w:t>The social dimension of EU law: Legislative and judicial developments</w:t>
            </w:r>
            <w:r w:rsidRPr="00122152">
              <w:t>. Bíbor Kiadó.</w:t>
            </w:r>
            <w:r w:rsidR="0004198C">
              <w:t xml:space="preserve"> – under process</w:t>
            </w:r>
          </w:p>
          <w:p w14:paraId="33DA5692" w14:textId="77777777" w:rsidR="00AF777D" w:rsidRDefault="00AF777D" w:rsidP="00AF777D">
            <w:pPr>
              <w:pStyle w:val="Listaszerbekezds"/>
              <w:numPr>
                <w:ilvl w:val="0"/>
                <w:numId w:val="1"/>
              </w:numPr>
              <w:ind w:left="602" w:hanging="425"/>
            </w:pPr>
            <w:r w:rsidRPr="00122152">
              <w:t xml:space="preserve">Jakab, N. (Ed.). (2022). </w:t>
            </w:r>
            <w:r w:rsidRPr="00122152">
              <w:rPr>
                <w:i/>
                <w:iCs/>
              </w:rPr>
              <w:t>Fundamentals of labour law in Central Europe</w:t>
            </w:r>
            <w:r w:rsidRPr="00122152">
              <w:t>. Miskolc–Budapest: Central European Academic Publishing.</w:t>
            </w:r>
          </w:p>
          <w:p w14:paraId="5A37F295" w14:textId="77777777" w:rsidR="00AF777D" w:rsidRPr="00122152" w:rsidRDefault="00AF777D" w:rsidP="00AF777D">
            <w:pPr>
              <w:pStyle w:val="Listaszerbekezds"/>
              <w:numPr>
                <w:ilvl w:val="0"/>
                <w:numId w:val="1"/>
              </w:numPr>
              <w:ind w:left="602" w:hanging="425"/>
            </w:pPr>
            <w:r w:rsidRPr="00122152">
              <w:t xml:space="preserve">Bercusson, B. (2009). </w:t>
            </w:r>
            <w:r w:rsidRPr="00122152">
              <w:rPr>
                <w:i/>
                <w:iCs/>
              </w:rPr>
              <w:t>European labour law</w:t>
            </w:r>
            <w:r w:rsidRPr="00122152">
              <w:t>. Cambridge University Press. (pp. 5–41, 78–98, 101–167, 168–197, 199–255, 288–330, 331–399)</w:t>
            </w:r>
          </w:p>
          <w:p w14:paraId="2F622C46" w14:textId="77777777" w:rsidR="00AF777D" w:rsidRPr="00122152" w:rsidRDefault="00AF777D" w:rsidP="00AF777D">
            <w:pPr>
              <w:pStyle w:val="Listaszerbekezds"/>
              <w:numPr>
                <w:ilvl w:val="0"/>
                <w:numId w:val="1"/>
              </w:numPr>
              <w:ind w:left="602" w:hanging="425"/>
            </w:pPr>
            <w:r w:rsidRPr="00122152">
              <w:t xml:space="preserve">European Commission. (2006). </w:t>
            </w:r>
            <w:r w:rsidRPr="00122152">
              <w:rPr>
                <w:i/>
                <w:iCs/>
              </w:rPr>
              <w:t>Modernising labour law to meet the challenges of the 21st century</w:t>
            </w:r>
            <w:r w:rsidRPr="00122152">
              <w:t xml:space="preserve"> (COM(2006) 708 final). Brussels.</w:t>
            </w:r>
          </w:p>
          <w:p w14:paraId="644953B7" w14:textId="77777777" w:rsidR="00AF777D" w:rsidRPr="006616D7" w:rsidRDefault="00AF777D" w:rsidP="00AF777D">
            <w:pPr>
              <w:jc w:val="both"/>
              <w:rPr>
                <w:b/>
              </w:rPr>
            </w:pPr>
            <w:r w:rsidRPr="006616D7">
              <w:rPr>
                <w:b/>
              </w:rPr>
              <w:t>Ajánlott irodalom:</w:t>
            </w:r>
          </w:p>
          <w:p w14:paraId="6C1D8EF6" w14:textId="77777777" w:rsidR="00AF777D" w:rsidRDefault="00AF777D" w:rsidP="00AF777D"/>
          <w:p w14:paraId="0FAFFECC" w14:textId="77777777" w:rsidR="004F2ECC" w:rsidRPr="004F2ECC" w:rsidRDefault="004F2ECC" w:rsidP="004F2ECC">
            <w:pPr>
              <w:pStyle w:val="Listaszerbekezds"/>
              <w:numPr>
                <w:ilvl w:val="0"/>
                <w:numId w:val="2"/>
              </w:numPr>
              <w:ind w:left="602" w:hanging="425"/>
            </w:pPr>
            <w:r w:rsidRPr="004F2ECC">
              <w:t xml:space="preserve">Employment Taskforce. (2003). </w:t>
            </w:r>
            <w:r w:rsidRPr="004F2ECC">
              <w:rPr>
                <w:i/>
                <w:iCs/>
              </w:rPr>
              <w:t>Jobs, jobs, jobs: Creating more employment in Europe</w:t>
            </w:r>
            <w:r w:rsidRPr="004F2ECC">
              <w:t xml:space="preserve">. Report of the Employment Taskforce chaired by Wim Kok. </w:t>
            </w:r>
            <w:hyperlink r:id="rId5" w:tgtFrame="_new" w:history="1">
              <w:r w:rsidRPr="004F2ECC">
                <w:rPr>
                  <w:rStyle w:val="Hiperhivatkozs"/>
                </w:rPr>
                <w:t>http://www.ciett.org/fileadmin/templates/eurociett/docs/Kok_Report_2003_Jobs_Jobs_Jobs.pdf</w:t>
              </w:r>
            </w:hyperlink>
          </w:p>
          <w:p w14:paraId="6DCE9626" w14:textId="77777777" w:rsidR="004F2ECC" w:rsidRPr="004F2ECC" w:rsidRDefault="004F2ECC" w:rsidP="004F2ECC">
            <w:pPr>
              <w:pStyle w:val="Listaszerbekezds"/>
              <w:numPr>
                <w:ilvl w:val="0"/>
                <w:numId w:val="2"/>
              </w:numPr>
              <w:ind w:left="602" w:hanging="425"/>
            </w:pPr>
            <w:r w:rsidRPr="004F2ECC">
              <w:t xml:space="preserve">International Labour Organization. (2003). </w:t>
            </w:r>
            <w:r w:rsidRPr="004F2ECC">
              <w:rPr>
                <w:i/>
                <w:iCs/>
              </w:rPr>
              <w:t>The scope of the employment relationship</w:t>
            </w:r>
            <w:r w:rsidRPr="004F2ECC">
              <w:t xml:space="preserve"> (International Labour Conference, Report V). ILO.</w:t>
            </w:r>
          </w:p>
          <w:p w14:paraId="296318EE" w14:textId="77777777" w:rsidR="004F2ECC" w:rsidRPr="004F2ECC" w:rsidRDefault="004F2ECC" w:rsidP="004F2ECC">
            <w:pPr>
              <w:pStyle w:val="Listaszerbekezds"/>
              <w:numPr>
                <w:ilvl w:val="0"/>
                <w:numId w:val="2"/>
              </w:numPr>
              <w:ind w:left="602" w:hanging="425"/>
            </w:pPr>
            <w:r w:rsidRPr="004F2ECC">
              <w:t xml:space="preserve">European Commission. (1998). </w:t>
            </w:r>
            <w:r w:rsidRPr="004F2ECC">
              <w:rPr>
                <w:i/>
                <w:iCs/>
              </w:rPr>
              <w:t>Transformation of labour and future of labour law in Europe: Final report</w:t>
            </w:r>
            <w:r w:rsidRPr="004F2ECC">
              <w:t xml:space="preserve">. </w:t>
            </w:r>
            <w:hyperlink r:id="rId6" w:tgtFrame="_new" w:history="1">
              <w:r w:rsidRPr="004F2ECC">
                <w:rPr>
                  <w:rStyle w:val="Hiperhivatkozs"/>
                </w:rPr>
                <w:t>http://www.metiseurope.eu/content/pdf/n8/15_supiotreport.pdf</w:t>
              </w:r>
            </w:hyperlink>
          </w:p>
          <w:p w14:paraId="507A5CF2" w14:textId="77777777" w:rsidR="00AF777D" w:rsidRPr="006616D7" w:rsidRDefault="00AF777D" w:rsidP="00AF777D">
            <w:pPr>
              <w:pStyle w:val="Listaszerbekezds"/>
              <w:ind w:left="602"/>
            </w:pPr>
          </w:p>
        </w:tc>
      </w:tr>
    </w:tbl>
    <w:p w14:paraId="7258AB3F" w14:textId="77777777" w:rsidR="00F61A39" w:rsidRDefault="00F61A39"/>
    <w:sectPr w:rsidR="00F61A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4D318A"/>
    <w:multiLevelType w:val="hybridMultilevel"/>
    <w:tmpl w:val="55E6C44C"/>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0A6501B3"/>
    <w:multiLevelType w:val="hybridMultilevel"/>
    <w:tmpl w:val="6E08ADD2"/>
    <w:lvl w:ilvl="0" w:tplc="73DE87A2">
      <w:start w:val="1"/>
      <w:numFmt w:val="decimal"/>
      <w:lvlText w:val="%1."/>
      <w:lvlJc w:val="left"/>
      <w:pPr>
        <w:ind w:left="392"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39BB7609"/>
    <w:multiLevelType w:val="hybridMultilevel"/>
    <w:tmpl w:val="1D06D450"/>
    <w:lvl w:ilvl="0" w:tplc="6E02B5A0">
      <w:start w:val="1"/>
      <w:numFmt w:val="decimal"/>
      <w:lvlText w:val="%1."/>
      <w:lvlJc w:val="left"/>
      <w:pPr>
        <w:ind w:left="720" w:hanging="360"/>
      </w:pPr>
      <w:rPr>
        <w:b w:val="0"/>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906263253">
    <w:abstractNumId w:val="0"/>
  </w:num>
  <w:num w:numId="2" w16cid:durableId="755171606">
    <w:abstractNumId w:val="2"/>
  </w:num>
  <w:num w:numId="3" w16cid:durableId="14605655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1D0"/>
    <w:rsid w:val="0004198C"/>
    <w:rsid w:val="002D498C"/>
    <w:rsid w:val="002D4F53"/>
    <w:rsid w:val="003E3617"/>
    <w:rsid w:val="00497092"/>
    <w:rsid w:val="004F2ECC"/>
    <w:rsid w:val="005649A0"/>
    <w:rsid w:val="005C3881"/>
    <w:rsid w:val="00626A13"/>
    <w:rsid w:val="0063124E"/>
    <w:rsid w:val="0068161F"/>
    <w:rsid w:val="006A11D0"/>
    <w:rsid w:val="006C48B8"/>
    <w:rsid w:val="006D7A00"/>
    <w:rsid w:val="007E58B1"/>
    <w:rsid w:val="00820AFB"/>
    <w:rsid w:val="008F50B1"/>
    <w:rsid w:val="00A0364D"/>
    <w:rsid w:val="00A64319"/>
    <w:rsid w:val="00A67424"/>
    <w:rsid w:val="00AF777D"/>
    <w:rsid w:val="00B55CC4"/>
    <w:rsid w:val="00C06DEE"/>
    <w:rsid w:val="00C872E5"/>
    <w:rsid w:val="00CC37F8"/>
    <w:rsid w:val="00CF09CB"/>
    <w:rsid w:val="00D42A81"/>
    <w:rsid w:val="00D71749"/>
    <w:rsid w:val="00EC079A"/>
    <w:rsid w:val="00F61A39"/>
    <w:rsid w:val="00F91D57"/>
    <w:rsid w:val="00FA15C6"/>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EC4E4"/>
  <w15:chartTrackingRefBased/>
  <w15:docId w15:val="{1F296736-B162-4A39-A789-0ED01A9E6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6A11D0"/>
    <w:pPr>
      <w:spacing w:after="0" w:line="240" w:lineRule="auto"/>
    </w:pPr>
    <w:rPr>
      <w:rFonts w:ascii="Times New Roman" w:hAnsi="Times New Roman" w:cs="Times New Roman"/>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qFormat/>
    <w:rsid w:val="006A11D0"/>
    <w:pPr>
      <w:ind w:left="708"/>
      <w:jc w:val="both"/>
    </w:pPr>
    <w:rPr>
      <w:rFonts w:eastAsia="Times New Roman"/>
      <w:lang w:eastAsia="hu-HU"/>
    </w:rPr>
  </w:style>
  <w:style w:type="character" w:styleId="Hiperhivatkozs">
    <w:name w:val="Hyperlink"/>
    <w:uiPriority w:val="99"/>
    <w:rsid w:val="006A11D0"/>
    <w:rPr>
      <w:color w:val="0000FF"/>
      <w:u w:val="single"/>
    </w:rPr>
  </w:style>
  <w:style w:type="paragraph" w:customStyle="1" w:styleId="Listaszerbekezds1">
    <w:name w:val="Listaszerű bekezdés1"/>
    <w:basedOn w:val="Norml"/>
    <w:uiPriority w:val="99"/>
    <w:rsid w:val="006A11D0"/>
    <w:pPr>
      <w:suppressAutoHyphens/>
      <w:autoSpaceDN w:val="0"/>
      <w:spacing w:after="120" w:line="276" w:lineRule="auto"/>
      <w:ind w:left="720"/>
      <w:jc w:val="both"/>
      <w:textAlignment w:val="baseline"/>
    </w:pPr>
    <w:rPr>
      <w:rFonts w:eastAsia="Times New Roman"/>
      <w:sz w:val="22"/>
      <w:szCs w:val="22"/>
    </w:rPr>
  </w:style>
  <w:style w:type="paragraph" w:customStyle="1" w:styleId="Listaszerbekezds2">
    <w:name w:val="Listaszerű bekezdés2"/>
    <w:basedOn w:val="Norml"/>
    <w:rsid w:val="00EC079A"/>
    <w:pPr>
      <w:spacing w:after="200" w:line="276" w:lineRule="auto"/>
      <w:ind w:left="720"/>
      <w:contextualSpacing/>
    </w:pPr>
    <w:rPr>
      <w:rFonts w:eastAsia="Times New Roman"/>
      <w:lang w:eastAsia="hu-HU"/>
    </w:rPr>
  </w:style>
  <w:style w:type="paragraph" w:styleId="Buborkszveg">
    <w:name w:val="Balloon Text"/>
    <w:basedOn w:val="Norml"/>
    <w:link w:val="BuborkszvegChar"/>
    <w:uiPriority w:val="99"/>
    <w:semiHidden/>
    <w:unhideWhenUsed/>
    <w:rsid w:val="0063124E"/>
    <w:rPr>
      <w:rFonts w:ascii="Segoe UI" w:hAnsi="Segoe UI" w:cs="Segoe UI"/>
      <w:sz w:val="18"/>
      <w:szCs w:val="18"/>
    </w:rPr>
  </w:style>
  <w:style w:type="character" w:customStyle="1" w:styleId="BuborkszvegChar">
    <w:name w:val="Buborékszöveg Char"/>
    <w:basedOn w:val="Bekezdsalapbettpusa"/>
    <w:link w:val="Buborkszveg"/>
    <w:uiPriority w:val="99"/>
    <w:semiHidden/>
    <w:rsid w:val="0063124E"/>
    <w:rPr>
      <w:rFonts w:ascii="Segoe UI" w:hAnsi="Segoe UI" w:cs="Segoe UI"/>
      <w:sz w:val="18"/>
      <w:szCs w:val="18"/>
    </w:rPr>
  </w:style>
  <w:style w:type="character" w:styleId="Feloldatlanmegemlts">
    <w:name w:val="Unresolved Mention"/>
    <w:basedOn w:val="Bekezdsalapbettpusa"/>
    <w:uiPriority w:val="99"/>
    <w:semiHidden/>
    <w:unhideWhenUsed/>
    <w:rsid w:val="004F2E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etiseurope.eu/content/pdf/n8/15_supiotreport.pdf" TargetMode="External"/><Relationship Id="rId5" Type="http://schemas.openxmlformats.org/officeDocument/2006/relationships/hyperlink" Target="http://www.ciett.org/fileadmin/templates/eurociett/docs/Kok_Report_2003_Jobs_Jobs_Jobs.pdf" TargetMode="Externa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3</Pages>
  <Words>955</Words>
  <Characters>6591</Characters>
  <Application>Microsoft Office Word</Application>
  <DocSecurity>0</DocSecurity>
  <Lines>54</Lines>
  <Paragraphs>15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7531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Windows-felhasználó</dc:creator>
  <cp:keywords/>
  <dc:description/>
  <cp:lastModifiedBy>Mélypataki Gábor</cp:lastModifiedBy>
  <cp:revision>21</cp:revision>
  <cp:lastPrinted>2019-03-13T07:53:00Z</cp:lastPrinted>
  <dcterms:created xsi:type="dcterms:W3CDTF">2019-03-13T07:37:00Z</dcterms:created>
  <dcterms:modified xsi:type="dcterms:W3CDTF">2026-02-16T06:48:00Z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ffd6e80b-a816-4e92-be2f-444c2627d2ba</vt:lpwstr>
  </property>
</Properties>
</file>